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45" w:rsidRPr="009A3645" w:rsidRDefault="009A3645" w:rsidP="009A3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Cíle udržitelného rozvoje („</w:t>
      </w:r>
      <w:proofErr w:type="spellStart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Sustainable</w:t>
      </w:r>
      <w:proofErr w:type="spellEnd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 xml:space="preserve"> </w:t>
      </w:r>
      <w:proofErr w:type="spellStart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Development</w:t>
      </w:r>
      <w:proofErr w:type="spellEnd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 xml:space="preserve"> </w:t>
      </w:r>
      <w:proofErr w:type="spellStart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Goals</w:t>
      </w:r>
      <w:proofErr w:type="spellEnd"/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“):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Vymýtit chudobu ve všech jejích formách všude na světě.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Vymýtit hlad, dosáhnout potravinové bezpečnosti a zlepšení výživy, podporovat udržitelné zemědělství.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Zajistit zdravý život a podporovat blahobyt pro všechny bez rozdílu věku.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Zajistit inkluzivní, spravedlivé a kvalitní vzdělávání a podporovat celoživotní vzdělávání pro všechny.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Dosáhnout rovnosti mezi ženami a muži a posílit postavení všech žen a dívek.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Zajistit dostupnost vody a sanitačních zařízení pro všechny a udržitelné hospodaření s nimi.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Zajistit přístup k cenově dostupným, spolehlivým, udržitelným a moderním zdrojům energie pro všechny.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Podporovat trvalý, inkluzivní a udržitelný hospodářský růst, plnou a produktivní zaměstnanost a důstojnou práci pro všechny.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Vybudovat odolnou infrastrukturu, podporovat inkluzivní a udržitelnou industrializaci a inovace.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Snížit nerovnost uvnitř zemí i mezi nimi.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cs-CZ"/>
        </w:rPr>
        <w:t>Vytvořit inkluzivní, bezpečná, odolná a udržitelná města a obce.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Zajistit udržitelnou spotřebu a výrobu.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Přijmout bezodkladná opatření na potírání změny klimatu a jejích dopadů (s uznáním, že Rámcová úmluva OSN o změně klimatu je primárním mezinárodním, mezivládním Fórem pro vyjednávání globální reakce na změnu klimatu).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Chránit a udržitelně využívat oceány, moře a mořské zdroje pro zajištění udržitelného rozvoje.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 xml:space="preserve">Chránit, obnovovat a podporovat udržitelné využívání suchozemských ekosystémů, udržitelně hospodařit s lesy, potírat </w:t>
      </w:r>
      <w:proofErr w:type="spellStart"/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dezertifikaci</w:t>
      </w:r>
      <w:proofErr w:type="spellEnd"/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, zastavit a následně zvrátit degradaci půdy a zastavit úbytek biodiverzity.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Podporovat mírové a inkluzivní společnosti pro udržitelný rozvoj, zajistit všem přístup ke spravedlnosti a vytvořit efektivní, odpovědné a inkluzivní instituce na všech úrovních.</w:t>
      </w:r>
    </w:p>
    <w:p w:rsidR="009A3645" w:rsidRPr="009A3645" w:rsidRDefault="009A3645" w:rsidP="009A3645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inherit" w:eastAsia="Times New Roman" w:hAnsi="inherit" w:cs="Times New Roman"/>
          <w:color w:val="231F20"/>
          <w:sz w:val="24"/>
          <w:szCs w:val="24"/>
          <w:lang w:eastAsia="cs-CZ"/>
        </w:rPr>
      </w:pP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Oživit globální partnerství pro udržitelný rozvoj a zvýšit prostředky pro jeho uplatňování.</w:t>
      </w:r>
    </w:p>
    <w:p w:rsidR="0080798B" w:rsidRDefault="009A3645" w:rsidP="009A3645"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 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Sedm dílčích cílů v rámci cíle č: 11. „Vytvořit inkluzivní, bezpečná, odolná a udržitelná města a obce“: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11.1   Do roku 2030 zajistit všem přístup k odpovídajícímu, bezpečnému a cenově dostupnému bydlení a základním službám a zlepšit podmínky ve slumech.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11.2   Do roku 2030 poskytnout všem přístup k bezpečným, cenově dostupným, přístupným a udržitelným dopravním systémům zlepšením bezpečnosti silničního provozu, a to zejména rozšířením veřejné dopravy, se zvláštním zřetelem na potřeby osob ve zranitelné situaci, žen, dětí, osob se zdravotním postižením a starších osob.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11.3   Do roku 2030 zlepšit inkluzivní a udržitelnou urbanizaci a kapacity pro participativní, integrované a udržitelné plánování a řízení lidských sídel ve všech zemích.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11.4   Posílit úsilí v ochraně a zachování světového kulturního a přírodního dědictví.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11.5   Do roku 2030 výrazně snížit počet úmrtí, počet zasažených lidí a výrazně snížit přímé ekonomické ztráty, vztahující se ke globálnímu hrubému domácímu produktu, v důsledku katastrof, včetně katastrof majících vazbu k vodě, se zaměřením na ochranu chudých a osob v obtížných situacích.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11.6   Do roku 2030 snížit nepříznivý dopad na životní prostředí v přepočtu na obyvatele měst tím, že bude věnována zvláštní pozornost kvalitě ovzduší a komunálnímu a ostatnímu odpadu.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lastRenderedPageBreak/>
        <w:t>11.7   Do roku 2030 poskytnout univerzální přístup k bezpečným, inkluzívním a přístupným zeleným a veřejným prostorům, zejména ženám a dětem, starším lidem a osobám se zdravotním postižením.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Tři opatření dojednaná v rámci cíle č. 11: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proofErr w:type="gramStart"/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11.a   Podporovat</w:t>
      </w:r>
      <w:proofErr w:type="gramEnd"/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 xml:space="preserve"> pozitivní ekonomické, sociální a environmentální vazby mezi městskými, příměstskými a venkovskými oblastmi posílením národního a regionálního plánování rozvoje.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11.b   Do roku 2020 výrazně zvýšit počet měst a lidských sídel přijetím a realizací integrovaných politik a plánů pro začleňování, účinné využívání zdrojů, pro zmírňování a přizpůsobení se změně klimatu a odolnost vůči katastrofám a vyvinout a implementovat, v souladu s „Rámcem pro snižování rizik a katastrof 2015-2030“, holistické řízení rizik katastrof na všech úrovních.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</w:r>
      <w:r w:rsidRPr="009A3645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cs-CZ"/>
        </w:rPr>
        <w:t>11.c   Podporovat nejméně rozvinuté země, a to i prostřednictvím finanční a technické pomoci, v budování udržitelných a odolných budov s využitím místních materiálů.</w:t>
      </w:r>
      <w:r w:rsidRPr="009A3645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 </w:t>
      </w:r>
      <w:bookmarkStart w:id="0" w:name="_GoBack"/>
      <w:bookmarkEnd w:id="0"/>
    </w:p>
    <w:sectPr w:rsidR="0080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337D"/>
    <w:multiLevelType w:val="multilevel"/>
    <w:tmpl w:val="F8CA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45"/>
    <w:rsid w:val="0080798B"/>
    <w:rsid w:val="009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9A3645"/>
    <w:rPr>
      <w:i/>
      <w:iCs/>
    </w:rPr>
  </w:style>
  <w:style w:type="character" w:styleId="Siln">
    <w:name w:val="Strong"/>
    <w:basedOn w:val="Standardnpsmoodstavce"/>
    <w:uiPriority w:val="22"/>
    <w:qFormat/>
    <w:rsid w:val="009A36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9A3645"/>
    <w:rPr>
      <w:i/>
      <w:iCs/>
    </w:rPr>
  </w:style>
  <w:style w:type="character" w:styleId="Siln">
    <w:name w:val="Strong"/>
    <w:basedOn w:val="Standardnpsmoodstavce"/>
    <w:uiPriority w:val="22"/>
    <w:qFormat/>
    <w:rsid w:val="009A3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Grygarová</dc:creator>
  <cp:lastModifiedBy>Šárka Grygarová</cp:lastModifiedBy>
  <cp:revision>1</cp:revision>
  <dcterms:created xsi:type="dcterms:W3CDTF">2016-09-15T07:09:00Z</dcterms:created>
  <dcterms:modified xsi:type="dcterms:W3CDTF">2016-09-15T07:09:00Z</dcterms:modified>
</cp:coreProperties>
</file>